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338F" w:rsidRDefault="007B5E42" w:rsidP="006D497E">
      <w:pPr>
        <w:spacing w:after="0" w:line="360" w:lineRule="auto"/>
        <w:ind w:firstLine="708"/>
        <w:jc w:val="center"/>
        <w:rPr>
          <w:b/>
          <w:lang w:val="en-US"/>
        </w:rPr>
      </w:pPr>
      <w:bookmarkStart w:id="0" w:name="_GoBack"/>
      <w:r w:rsidRPr="007B5E42">
        <w:rPr>
          <w:b/>
          <w:lang w:val="en-US"/>
        </w:rPr>
        <w:t>УДК 617.735-02:616.379-008.64 :612.111</w:t>
      </w:r>
    </w:p>
    <w:bookmarkEnd w:id="0"/>
    <w:p w:rsidR="00C254B6" w:rsidRPr="00885513" w:rsidRDefault="00C254B6" w:rsidP="00C254B6">
      <w:pPr>
        <w:spacing w:after="0" w:line="360" w:lineRule="auto"/>
        <w:ind w:firstLine="708"/>
        <w:jc w:val="center"/>
        <w:rPr>
          <w:b/>
          <w:lang w:val="en-US"/>
        </w:rPr>
      </w:pPr>
      <w:r w:rsidRPr="00784D6D">
        <w:rPr>
          <w:b/>
          <w:lang w:val="en-US"/>
        </w:rPr>
        <w:t>ANALYSIS</w:t>
      </w:r>
      <w:r>
        <w:rPr>
          <w:b/>
        </w:rPr>
        <w:t xml:space="preserve"> </w:t>
      </w:r>
      <w:r w:rsidRPr="00885513">
        <w:rPr>
          <w:b/>
          <w:lang w:val="en-US"/>
        </w:rPr>
        <w:t>OF ERYTHROCYTES’ PARAMETERS IN PATIENTS WITH VARYING DEGREES OF DIABETIC RETINOPATHY</w:t>
      </w:r>
    </w:p>
    <w:p w:rsidR="00C254B6" w:rsidRPr="00F74CF9" w:rsidRDefault="00C254B6" w:rsidP="00C254B6">
      <w:pPr>
        <w:spacing w:after="0" w:line="360" w:lineRule="auto"/>
        <w:ind w:firstLine="708"/>
        <w:jc w:val="center"/>
        <w:rPr>
          <w:lang w:val="en-US"/>
        </w:rPr>
      </w:pPr>
      <w:r w:rsidRPr="004B0CDD">
        <w:rPr>
          <w:lang w:val="en-US"/>
        </w:rPr>
        <w:t xml:space="preserve">V.Hanyuk </w:t>
      </w:r>
      <w:r w:rsidRPr="00F74CF9">
        <w:rPr>
          <w:vertAlign w:val="superscript"/>
          <w:lang w:val="en-US"/>
        </w:rPr>
        <w:t>1</w:t>
      </w:r>
      <w:r>
        <w:rPr>
          <w:vertAlign w:val="superscript"/>
        </w:rPr>
        <w:t xml:space="preserve"> </w:t>
      </w:r>
      <w:r w:rsidRPr="004B0CDD">
        <w:t>,</w:t>
      </w:r>
      <w:r>
        <w:t xml:space="preserve"> </w:t>
      </w:r>
      <w:r>
        <w:rPr>
          <w:lang w:val="en-US"/>
        </w:rPr>
        <w:t>O.</w:t>
      </w:r>
      <w:r w:rsidRPr="00F74CF9">
        <w:rPr>
          <w:lang w:val="en-US"/>
        </w:rPr>
        <w:t>Petrenko</w:t>
      </w:r>
      <w:r w:rsidRPr="00F74CF9">
        <w:rPr>
          <w:vertAlign w:val="superscript"/>
          <w:lang w:val="en-US"/>
        </w:rPr>
        <w:t>1</w:t>
      </w:r>
      <w:r>
        <w:rPr>
          <w:lang w:val="en-US"/>
        </w:rPr>
        <w:t>,</w:t>
      </w:r>
      <w:r w:rsidRPr="00F74CF9">
        <w:rPr>
          <w:lang w:val="en-US"/>
        </w:rPr>
        <w:t xml:space="preserve"> L. Natrus</w:t>
      </w:r>
      <w:r w:rsidRPr="00F74CF9">
        <w:rPr>
          <w:vertAlign w:val="superscript"/>
          <w:lang w:val="en-US"/>
        </w:rPr>
        <w:t xml:space="preserve">2  </w:t>
      </w:r>
    </w:p>
    <w:p w:rsidR="00C254B6" w:rsidRDefault="00C254B6" w:rsidP="00C254B6">
      <w:pPr>
        <w:spacing w:after="0" w:line="360" w:lineRule="auto"/>
        <w:ind w:firstLine="708"/>
        <w:jc w:val="center"/>
        <w:rPr>
          <w:lang w:val="en-US"/>
        </w:rPr>
      </w:pPr>
      <w:r w:rsidRPr="00F74CF9">
        <w:rPr>
          <w:lang w:val="en-US"/>
        </w:rPr>
        <w:t>National Medical Academy of Postgraduate Education named after Shupyk</w:t>
      </w:r>
      <w:r w:rsidRPr="00F74CF9">
        <w:rPr>
          <w:vertAlign w:val="superscript"/>
          <w:lang w:val="en-US"/>
        </w:rPr>
        <w:t>1</w:t>
      </w:r>
      <w:r w:rsidRPr="00F74CF9">
        <w:rPr>
          <w:lang w:val="en-US"/>
        </w:rPr>
        <w:t xml:space="preserve"> Bogomolets National Medical University</w:t>
      </w:r>
      <w:r w:rsidRPr="00F74CF9">
        <w:rPr>
          <w:vertAlign w:val="superscript"/>
          <w:lang w:val="en-US"/>
        </w:rPr>
        <w:t xml:space="preserve">2  </w:t>
      </w:r>
      <w:r w:rsidRPr="00F74CF9">
        <w:rPr>
          <w:lang w:val="en-US"/>
        </w:rPr>
        <w:t>(Kiev, Ukraine)</w:t>
      </w:r>
    </w:p>
    <w:p w:rsidR="00F7338F" w:rsidRDefault="00F7338F" w:rsidP="006D497E">
      <w:pPr>
        <w:spacing w:after="0" w:line="360" w:lineRule="auto"/>
        <w:ind w:firstLine="708"/>
        <w:jc w:val="center"/>
        <w:rPr>
          <w:lang w:val="en-US"/>
        </w:rPr>
      </w:pPr>
    </w:p>
    <w:p w:rsidR="00F7338F" w:rsidRDefault="00F7338F" w:rsidP="003058AE">
      <w:pPr>
        <w:spacing w:after="0" w:line="360" w:lineRule="auto"/>
        <w:ind w:firstLine="708"/>
        <w:jc w:val="both"/>
        <w:rPr>
          <w:lang w:val="en-US"/>
        </w:rPr>
      </w:pPr>
      <w:r w:rsidRPr="00F7338F">
        <w:rPr>
          <w:lang w:val="en-US"/>
        </w:rPr>
        <w:t>Morpho-functional parameters of erythrocytes determine their physiological capacity for gas exchange.</w:t>
      </w:r>
      <w:r>
        <w:rPr>
          <w:lang w:val="en-US"/>
        </w:rPr>
        <w:t xml:space="preserve"> </w:t>
      </w:r>
      <w:r w:rsidRPr="00F7338F">
        <w:rPr>
          <w:lang w:val="en-US"/>
        </w:rPr>
        <w:t>Ineffective gas exchange causes tissue hypoxia and is one of the pathogenetic pathways for the development of diabetic retinopathy (DR).</w:t>
      </w:r>
    </w:p>
    <w:p w:rsidR="00F7338F" w:rsidRDefault="00F7338F" w:rsidP="003058AE">
      <w:pPr>
        <w:spacing w:after="0" w:line="360" w:lineRule="auto"/>
        <w:ind w:firstLine="708"/>
        <w:jc w:val="both"/>
        <w:rPr>
          <w:lang w:val="en-US"/>
        </w:rPr>
      </w:pPr>
      <w:r w:rsidRPr="00F7338F">
        <w:rPr>
          <w:b/>
          <w:lang w:val="en-US"/>
        </w:rPr>
        <w:t>The purpose</w:t>
      </w:r>
      <w:r w:rsidRPr="00F7338F">
        <w:rPr>
          <w:lang w:val="en-US"/>
        </w:rPr>
        <w:t xml:space="preserve"> is to study the morpho-functional parameters of erythrocytes in patients with varying degrees of development of DR as an important factor in providing tissue respiration.</w:t>
      </w:r>
    </w:p>
    <w:p w:rsidR="00526E38" w:rsidRDefault="001B0676" w:rsidP="003058AE">
      <w:pPr>
        <w:spacing w:after="0" w:line="360" w:lineRule="auto"/>
        <w:ind w:firstLine="708"/>
        <w:jc w:val="both"/>
        <w:rPr>
          <w:lang w:val="en-US"/>
        </w:rPr>
      </w:pPr>
      <w:r w:rsidRPr="001B0676">
        <w:rPr>
          <w:b/>
          <w:lang w:val="en-US"/>
        </w:rPr>
        <w:t>Materials and methods.</w:t>
      </w:r>
      <w:r w:rsidRPr="001B0676">
        <w:rPr>
          <w:lang w:val="en-US"/>
        </w:rPr>
        <w:t xml:space="preserve"> The parameters of hemogram were studied in patients with DR: 1 group (n = </w:t>
      </w:r>
      <w:r w:rsidR="005A73AE" w:rsidRPr="005A73AE">
        <w:rPr>
          <w:lang w:val="en-US"/>
        </w:rPr>
        <w:t>36</w:t>
      </w:r>
      <w:r w:rsidRPr="001B0676">
        <w:rPr>
          <w:lang w:val="en-US"/>
        </w:rPr>
        <w:t xml:space="preserve">) with mild and moderate nonproliferative DR, 2 groups (n = </w:t>
      </w:r>
      <w:r w:rsidR="005A73AE" w:rsidRPr="005A73AE">
        <w:rPr>
          <w:lang w:val="en-US"/>
        </w:rPr>
        <w:t>54</w:t>
      </w:r>
      <w:r w:rsidRPr="001B0676">
        <w:rPr>
          <w:lang w:val="en-US"/>
        </w:rPr>
        <w:t xml:space="preserve">) with moderate proliferative DR (DR), and 3 groups (n = 31) with advanced DR. Patients (n = </w:t>
      </w:r>
      <w:r w:rsidR="005A73AE" w:rsidRPr="005A73AE">
        <w:rPr>
          <w:lang w:val="en-US"/>
        </w:rPr>
        <w:t>86</w:t>
      </w:r>
      <w:r w:rsidRPr="001B0676">
        <w:rPr>
          <w:lang w:val="en-US"/>
        </w:rPr>
        <w:t xml:space="preserve">) without diabetes and without retinal pathology who were matched for age and sex were examined made up the control </w:t>
      </w:r>
      <w:r w:rsidR="007B5E42">
        <w:rPr>
          <w:lang w:val="en-US"/>
        </w:rPr>
        <w:t>group. The hemogram was obtain</w:t>
      </w:r>
      <w:r w:rsidRPr="001B0676">
        <w:rPr>
          <w:lang w:val="en-US"/>
        </w:rPr>
        <w:t xml:space="preserve"> in the study of venous blood by means of a hematological analyzer (MicroCS, China). In the laboratory of clin</w:t>
      </w:r>
      <w:r w:rsidR="007B5E42">
        <w:rPr>
          <w:lang w:val="en-US"/>
        </w:rPr>
        <w:t xml:space="preserve">ical laboratory diagnostics of </w:t>
      </w:r>
      <w:r w:rsidRPr="001B0676">
        <w:rPr>
          <w:lang w:val="en-US"/>
        </w:rPr>
        <w:t>Bogomolet</w:t>
      </w:r>
      <w:r w:rsidR="007B5E42">
        <w:rPr>
          <w:lang w:val="en-US"/>
        </w:rPr>
        <w:t>s NMU. The results were analyze</w:t>
      </w:r>
      <w:r w:rsidRPr="001B0676">
        <w:rPr>
          <w:lang w:val="en-US"/>
        </w:rPr>
        <w:t xml:space="preserve"> using the SPSS Statistics 23 (using Kruskal-Wallis, Scheffe or Dunn criteria).</w:t>
      </w:r>
    </w:p>
    <w:p w:rsidR="001B0676" w:rsidRPr="007B5E42" w:rsidRDefault="001B0676" w:rsidP="003058AE">
      <w:pPr>
        <w:spacing w:line="360" w:lineRule="auto"/>
        <w:ind w:firstLine="708"/>
        <w:jc w:val="both"/>
        <w:rPr>
          <w:lang w:val="en-US"/>
        </w:rPr>
      </w:pPr>
      <w:r w:rsidRPr="001B0676">
        <w:rPr>
          <w:b/>
          <w:lang w:val="en-US"/>
        </w:rPr>
        <w:t>Results.</w:t>
      </w:r>
      <w:r>
        <w:rPr>
          <w:lang w:val="en-US"/>
        </w:rPr>
        <w:t xml:space="preserve"> </w:t>
      </w:r>
      <w:r w:rsidR="00835072" w:rsidRPr="00835072">
        <w:rPr>
          <w:lang w:val="en-US"/>
        </w:rPr>
        <w:t xml:space="preserve">The decrease in HGB and </w:t>
      </w:r>
      <w:r w:rsidR="00010867">
        <w:rPr>
          <w:lang w:val="en-US"/>
        </w:rPr>
        <w:t>MCHC</w:t>
      </w:r>
      <w:r w:rsidR="00835072" w:rsidRPr="00835072">
        <w:rPr>
          <w:lang w:val="en-US"/>
        </w:rPr>
        <w:t xml:space="preserve"> compared with the control group w</w:t>
      </w:r>
      <w:r w:rsidR="00010867">
        <w:rPr>
          <w:lang w:val="en-US"/>
        </w:rPr>
        <w:t>ere</w:t>
      </w:r>
      <w:r w:rsidR="00835072" w:rsidRPr="00835072">
        <w:rPr>
          <w:lang w:val="en-US"/>
        </w:rPr>
        <w:t xml:space="preserve"> </w:t>
      </w:r>
      <w:r w:rsidR="007B5E42" w:rsidRPr="00835072">
        <w:rPr>
          <w:lang w:val="en-US"/>
        </w:rPr>
        <w:t>fi</w:t>
      </w:r>
      <w:r w:rsidR="007B5E42">
        <w:rPr>
          <w:lang w:val="en-US"/>
        </w:rPr>
        <w:t>nd</w:t>
      </w:r>
      <w:r w:rsidR="00835072" w:rsidRPr="00835072">
        <w:rPr>
          <w:lang w:val="en-US"/>
        </w:rPr>
        <w:t xml:space="preserve"> in all patients with DR. RBC and HTC differed from the control</w:t>
      </w:r>
      <w:r w:rsidR="00010867">
        <w:rPr>
          <w:lang w:val="en-US"/>
        </w:rPr>
        <w:t xml:space="preserve"> group only in the group with advanced DR. Indicators of </w:t>
      </w:r>
      <w:r w:rsidR="00010867" w:rsidRPr="00835072">
        <w:rPr>
          <w:lang w:val="en-US"/>
        </w:rPr>
        <w:t>erythrocytes</w:t>
      </w:r>
      <w:r w:rsidR="00010867">
        <w:rPr>
          <w:lang w:val="en-US"/>
        </w:rPr>
        <w:t xml:space="preserve"> anyz</w:t>
      </w:r>
      <w:r w:rsidR="00835072" w:rsidRPr="00835072">
        <w:rPr>
          <w:lang w:val="en-US"/>
        </w:rPr>
        <w:t>ocytosis</w:t>
      </w:r>
      <w:r w:rsidR="007B5E42">
        <w:rPr>
          <w:lang w:val="en-US"/>
        </w:rPr>
        <w:t xml:space="preserve"> (MCV, RDW-CV)</w:t>
      </w:r>
      <w:r w:rsidR="00835072" w:rsidRPr="00835072">
        <w:rPr>
          <w:lang w:val="en-US"/>
        </w:rPr>
        <w:t xml:space="preserve"> did not have a significant </w:t>
      </w:r>
      <w:r w:rsidR="007B5E42">
        <w:rPr>
          <w:lang w:val="en-US"/>
        </w:rPr>
        <w:t xml:space="preserve">difference in patients with DR </w:t>
      </w:r>
      <w:r w:rsidR="007B5E42" w:rsidRPr="007B5E42">
        <w:rPr>
          <w:lang w:val="en-US"/>
        </w:rPr>
        <w:t>and control group</w:t>
      </w:r>
      <w:r w:rsidR="007B5E42">
        <w:rPr>
          <w:lang w:val="en-US"/>
        </w:rPr>
        <w:t>.</w:t>
      </w:r>
    </w:p>
    <w:p w:rsidR="006D6D36" w:rsidRDefault="001B0676" w:rsidP="003058AE">
      <w:pPr>
        <w:spacing w:after="0" w:line="360" w:lineRule="auto"/>
        <w:ind w:firstLine="708"/>
        <w:jc w:val="both"/>
        <w:rPr>
          <w:lang w:val="en-US"/>
        </w:rPr>
      </w:pPr>
      <w:r w:rsidRPr="007B5E42">
        <w:rPr>
          <w:b/>
          <w:lang w:val="en-US"/>
        </w:rPr>
        <w:t>C</w:t>
      </w:r>
      <w:r w:rsidRPr="001B0676">
        <w:rPr>
          <w:b/>
          <w:lang w:val="en-US"/>
        </w:rPr>
        <w:t>onclusions.</w:t>
      </w:r>
      <w:r>
        <w:rPr>
          <w:lang w:val="en-US"/>
        </w:rPr>
        <w:t xml:space="preserve"> </w:t>
      </w:r>
      <w:r w:rsidR="00835072" w:rsidRPr="00835072">
        <w:rPr>
          <w:lang w:val="en-US"/>
        </w:rPr>
        <w:t>The obtained data provide the basis for the analysis of pathogenetic pathways of tissue hypoxia in patients with DR</w:t>
      </w:r>
      <w:r w:rsidR="00835072">
        <w:t>,</w:t>
      </w:r>
      <w:r w:rsidR="00835072" w:rsidRPr="00835072">
        <w:rPr>
          <w:lang w:val="en-US"/>
        </w:rPr>
        <w:t xml:space="preserve"> and to develop recommendations for </w:t>
      </w:r>
      <w:r w:rsidR="00010867">
        <w:rPr>
          <w:lang w:val="en-US"/>
        </w:rPr>
        <w:t>it</w:t>
      </w:r>
      <w:r w:rsidR="00010867" w:rsidRPr="00835072">
        <w:rPr>
          <w:lang w:val="en-US"/>
        </w:rPr>
        <w:t xml:space="preserve"> </w:t>
      </w:r>
      <w:r w:rsidR="00835072" w:rsidRPr="00835072">
        <w:rPr>
          <w:lang w:val="en-US"/>
        </w:rPr>
        <w:t>elimination.</w:t>
      </w:r>
    </w:p>
    <w:sectPr w:rsidR="006D6D36" w:rsidSect="00001E66">
      <w:pgSz w:w="11906" w:h="16838"/>
      <w:pgMar w:top="1134" w:right="850" w:bottom="1134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152B" w:rsidRDefault="00A5152B" w:rsidP="00F85295">
      <w:pPr>
        <w:spacing w:after="0" w:line="240" w:lineRule="auto"/>
      </w:pPr>
      <w:r>
        <w:separator/>
      </w:r>
    </w:p>
  </w:endnote>
  <w:endnote w:type="continuationSeparator" w:id="0">
    <w:p w:rsidR="00A5152B" w:rsidRDefault="00A5152B" w:rsidP="00F852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152B" w:rsidRDefault="00A5152B" w:rsidP="00F85295">
      <w:pPr>
        <w:spacing w:after="0" w:line="240" w:lineRule="auto"/>
      </w:pPr>
      <w:r>
        <w:separator/>
      </w:r>
    </w:p>
  </w:footnote>
  <w:footnote w:type="continuationSeparator" w:id="0">
    <w:p w:rsidR="00A5152B" w:rsidRDefault="00A5152B" w:rsidP="00F8529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7FC"/>
    <w:rsid w:val="00000558"/>
    <w:rsid w:val="00001E66"/>
    <w:rsid w:val="00010867"/>
    <w:rsid w:val="00033A90"/>
    <w:rsid w:val="00060A10"/>
    <w:rsid w:val="000E515A"/>
    <w:rsid w:val="000E7FFD"/>
    <w:rsid w:val="000F6F1A"/>
    <w:rsid w:val="001000D3"/>
    <w:rsid w:val="001107FC"/>
    <w:rsid w:val="0011179E"/>
    <w:rsid w:val="00116C54"/>
    <w:rsid w:val="00142D42"/>
    <w:rsid w:val="00153259"/>
    <w:rsid w:val="001538A5"/>
    <w:rsid w:val="00170884"/>
    <w:rsid w:val="001754D9"/>
    <w:rsid w:val="00176634"/>
    <w:rsid w:val="001770B6"/>
    <w:rsid w:val="00196ADE"/>
    <w:rsid w:val="001A276D"/>
    <w:rsid w:val="001A2824"/>
    <w:rsid w:val="001B0676"/>
    <w:rsid w:val="001D4433"/>
    <w:rsid w:val="001E4D59"/>
    <w:rsid w:val="001F3979"/>
    <w:rsid w:val="001F3F3D"/>
    <w:rsid w:val="00212AC5"/>
    <w:rsid w:val="0021794F"/>
    <w:rsid w:val="002452EC"/>
    <w:rsid w:val="00256DDD"/>
    <w:rsid w:val="00263057"/>
    <w:rsid w:val="002737C3"/>
    <w:rsid w:val="00285A9D"/>
    <w:rsid w:val="00295B4F"/>
    <w:rsid w:val="002C4111"/>
    <w:rsid w:val="002C579B"/>
    <w:rsid w:val="002E00AE"/>
    <w:rsid w:val="002E0349"/>
    <w:rsid w:val="002E2BB9"/>
    <w:rsid w:val="002F41F0"/>
    <w:rsid w:val="003058AE"/>
    <w:rsid w:val="00314558"/>
    <w:rsid w:val="00315E18"/>
    <w:rsid w:val="00326DAB"/>
    <w:rsid w:val="00332151"/>
    <w:rsid w:val="0034466B"/>
    <w:rsid w:val="0034747C"/>
    <w:rsid w:val="0035703B"/>
    <w:rsid w:val="003906B7"/>
    <w:rsid w:val="003B5D87"/>
    <w:rsid w:val="003C02F7"/>
    <w:rsid w:val="003E34F4"/>
    <w:rsid w:val="00413669"/>
    <w:rsid w:val="00415D47"/>
    <w:rsid w:val="00440D13"/>
    <w:rsid w:val="00440DD0"/>
    <w:rsid w:val="0044177B"/>
    <w:rsid w:val="0044417F"/>
    <w:rsid w:val="0047386B"/>
    <w:rsid w:val="004A1BF9"/>
    <w:rsid w:val="004A3956"/>
    <w:rsid w:val="004A6ECA"/>
    <w:rsid w:val="004B5EB6"/>
    <w:rsid w:val="004C060A"/>
    <w:rsid w:val="004D2B2F"/>
    <w:rsid w:val="004E50EB"/>
    <w:rsid w:val="00512DE8"/>
    <w:rsid w:val="0051711A"/>
    <w:rsid w:val="00526E38"/>
    <w:rsid w:val="0053487E"/>
    <w:rsid w:val="00590F36"/>
    <w:rsid w:val="005A73AE"/>
    <w:rsid w:val="005B021E"/>
    <w:rsid w:val="005B6CDF"/>
    <w:rsid w:val="005D6EE2"/>
    <w:rsid w:val="00630DDF"/>
    <w:rsid w:val="006509A4"/>
    <w:rsid w:val="00660D9D"/>
    <w:rsid w:val="0066392B"/>
    <w:rsid w:val="00685A2D"/>
    <w:rsid w:val="00694D81"/>
    <w:rsid w:val="006A0B8D"/>
    <w:rsid w:val="006D497E"/>
    <w:rsid w:val="006D6D36"/>
    <w:rsid w:val="007029D9"/>
    <w:rsid w:val="007036F8"/>
    <w:rsid w:val="007100FD"/>
    <w:rsid w:val="00714A65"/>
    <w:rsid w:val="007165FE"/>
    <w:rsid w:val="00720B9E"/>
    <w:rsid w:val="00725698"/>
    <w:rsid w:val="00736D42"/>
    <w:rsid w:val="00766D20"/>
    <w:rsid w:val="00770642"/>
    <w:rsid w:val="007A43A7"/>
    <w:rsid w:val="007A7D7F"/>
    <w:rsid w:val="007B0BEE"/>
    <w:rsid w:val="007B3504"/>
    <w:rsid w:val="007B40A4"/>
    <w:rsid w:val="007B5E42"/>
    <w:rsid w:val="007C5E47"/>
    <w:rsid w:val="007D1428"/>
    <w:rsid w:val="007D5B64"/>
    <w:rsid w:val="007E43D2"/>
    <w:rsid w:val="007E5BB1"/>
    <w:rsid w:val="007E7DBE"/>
    <w:rsid w:val="007F3429"/>
    <w:rsid w:val="0080574F"/>
    <w:rsid w:val="00823AD8"/>
    <w:rsid w:val="00827C37"/>
    <w:rsid w:val="00835072"/>
    <w:rsid w:val="00842394"/>
    <w:rsid w:val="00842C60"/>
    <w:rsid w:val="008506BE"/>
    <w:rsid w:val="00854C9B"/>
    <w:rsid w:val="00861216"/>
    <w:rsid w:val="008673DC"/>
    <w:rsid w:val="008A39F6"/>
    <w:rsid w:val="008B186B"/>
    <w:rsid w:val="008D606E"/>
    <w:rsid w:val="008F5355"/>
    <w:rsid w:val="008F6AD5"/>
    <w:rsid w:val="0090617F"/>
    <w:rsid w:val="00913112"/>
    <w:rsid w:val="00932C31"/>
    <w:rsid w:val="0093680F"/>
    <w:rsid w:val="00941364"/>
    <w:rsid w:val="00947449"/>
    <w:rsid w:val="00964C08"/>
    <w:rsid w:val="00966204"/>
    <w:rsid w:val="0098720F"/>
    <w:rsid w:val="00997869"/>
    <w:rsid w:val="009A1137"/>
    <w:rsid w:val="009A319C"/>
    <w:rsid w:val="009B7783"/>
    <w:rsid w:val="009C5B9C"/>
    <w:rsid w:val="00A12F8B"/>
    <w:rsid w:val="00A17DBD"/>
    <w:rsid w:val="00A233CC"/>
    <w:rsid w:val="00A26690"/>
    <w:rsid w:val="00A403E3"/>
    <w:rsid w:val="00A5152B"/>
    <w:rsid w:val="00A71F36"/>
    <w:rsid w:val="00A766D2"/>
    <w:rsid w:val="00AD47C8"/>
    <w:rsid w:val="00AD4B4A"/>
    <w:rsid w:val="00B05CAF"/>
    <w:rsid w:val="00B0676E"/>
    <w:rsid w:val="00B07F45"/>
    <w:rsid w:val="00B129F1"/>
    <w:rsid w:val="00B13485"/>
    <w:rsid w:val="00B14E13"/>
    <w:rsid w:val="00B1701B"/>
    <w:rsid w:val="00B21783"/>
    <w:rsid w:val="00B236BC"/>
    <w:rsid w:val="00B45F27"/>
    <w:rsid w:val="00B52588"/>
    <w:rsid w:val="00B7055F"/>
    <w:rsid w:val="00B90DE2"/>
    <w:rsid w:val="00B91569"/>
    <w:rsid w:val="00B958E4"/>
    <w:rsid w:val="00B96FBB"/>
    <w:rsid w:val="00BB136A"/>
    <w:rsid w:val="00BB3343"/>
    <w:rsid w:val="00BD56B2"/>
    <w:rsid w:val="00BD6C99"/>
    <w:rsid w:val="00BE2601"/>
    <w:rsid w:val="00C02870"/>
    <w:rsid w:val="00C07A97"/>
    <w:rsid w:val="00C21E51"/>
    <w:rsid w:val="00C254B6"/>
    <w:rsid w:val="00C36A53"/>
    <w:rsid w:val="00C73480"/>
    <w:rsid w:val="00C9292D"/>
    <w:rsid w:val="00CA2878"/>
    <w:rsid w:val="00CA44B7"/>
    <w:rsid w:val="00CA7E56"/>
    <w:rsid w:val="00CB0B8F"/>
    <w:rsid w:val="00CB32D2"/>
    <w:rsid w:val="00CB53EC"/>
    <w:rsid w:val="00CB6CA0"/>
    <w:rsid w:val="00CD73CD"/>
    <w:rsid w:val="00CF4E73"/>
    <w:rsid w:val="00D31444"/>
    <w:rsid w:val="00D42DC2"/>
    <w:rsid w:val="00D663AB"/>
    <w:rsid w:val="00D84AF6"/>
    <w:rsid w:val="00D91FC6"/>
    <w:rsid w:val="00DC1ADA"/>
    <w:rsid w:val="00DC2C92"/>
    <w:rsid w:val="00DD4A9C"/>
    <w:rsid w:val="00DE02EE"/>
    <w:rsid w:val="00DF574F"/>
    <w:rsid w:val="00DF6285"/>
    <w:rsid w:val="00E01890"/>
    <w:rsid w:val="00E054F3"/>
    <w:rsid w:val="00E20519"/>
    <w:rsid w:val="00E34764"/>
    <w:rsid w:val="00E36A61"/>
    <w:rsid w:val="00E50790"/>
    <w:rsid w:val="00E721EA"/>
    <w:rsid w:val="00E73D06"/>
    <w:rsid w:val="00E7433C"/>
    <w:rsid w:val="00E74765"/>
    <w:rsid w:val="00E8001F"/>
    <w:rsid w:val="00E91B4F"/>
    <w:rsid w:val="00EA2E55"/>
    <w:rsid w:val="00EC5EAE"/>
    <w:rsid w:val="00EE6490"/>
    <w:rsid w:val="00F14B01"/>
    <w:rsid w:val="00F365C0"/>
    <w:rsid w:val="00F44320"/>
    <w:rsid w:val="00F55F33"/>
    <w:rsid w:val="00F7338F"/>
    <w:rsid w:val="00F73A3A"/>
    <w:rsid w:val="00F74CF9"/>
    <w:rsid w:val="00F85295"/>
    <w:rsid w:val="00F91C23"/>
    <w:rsid w:val="00F964CE"/>
    <w:rsid w:val="00FB342D"/>
    <w:rsid w:val="00FD1F4F"/>
    <w:rsid w:val="00FE0F89"/>
    <w:rsid w:val="00FF0466"/>
    <w:rsid w:val="00FF4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DA8239-EB72-483D-8701-B11EEB44D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5A9D"/>
    <w:pPr>
      <w:spacing w:after="200" w:line="276" w:lineRule="auto"/>
    </w:pPr>
    <w:rPr>
      <w:rFonts w:eastAsiaTheme="minorEastAsia"/>
      <w:szCs w:val="22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73D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673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673DC"/>
    <w:rPr>
      <w:rFonts w:ascii="Tahoma" w:eastAsiaTheme="minorEastAsia" w:hAnsi="Tahoma" w:cs="Tahoma"/>
      <w:sz w:val="16"/>
      <w:szCs w:val="16"/>
      <w:lang w:val="uk-UA" w:eastAsia="ru-RU"/>
    </w:rPr>
  </w:style>
  <w:style w:type="paragraph" w:styleId="a6">
    <w:name w:val="header"/>
    <w:basedOn w:val="a"/>
    <w:link w:val="a7"/>
    <w:uiPriority w:val="99"/>
    <w:unhideWhenUsed/>
    <w:rsid w:val="00F852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85295"/>
    <w:rPr>
      <w:rFonts w:eastAsiaTheme="minorEastAsia"/>
      <w:szCs w:val="22"/>
      <w:lang w:val="uk-UA" w:eastAsia="ru-RU"/>
    </w:rPr>
  </w:style>
  <w:style w:type="paragraph" w:styleId="a8">
    <w:name w:val="footer"/>
    <w:basedOn w:val="a"/>
    <w:link w:val="a9"/>
    <w:uiPriority w:val="99"/>
    <w:unhideWhenUsed/>
    <w:rsid w:val="00F852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85295"/>
    <w:rPr>
      <w:rFonts w:eastAsiaTheme="minorEastAsia"/>
      <w:szCs w:val="22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435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1199</Words>
  <Characters>684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</dc:creator>
  <cp:lastModifiedBy>Оля</cp:lastModifiedBy>
  <cp:revision>2</cp:revision>
  <cp:lastPrinted>2018-01-12T16:58:00Z</cp:lastPrinted>
  <dcterms:created xsi:type="dcterms:W3CDTF">2020-12-09T19:06:00Z</dcterms:created>
  <dcterms:modified xsi:type="dcterms:W3CDTF">2020-12-09T19:06:00Z</dcterms:modified>
</cp:coreProperties>
</file>